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44" w:rsidRDefault="00310144" w:rsidP="006A2E4F">
      <w:pPr>
        <w:pStyle w:val="NormalWeb"/>
        <w:spacing w:before="0" w:beforeAutospacing="0" w:after="0"/>
        <w:jc w:val="center"/>
      </w:pPr>
      <w:r>
        <w:rPr>
          <w:b/>
          <w:bCs/>
          <w:color w:val="FF0000"/>
          <w:sz w:val="27"/>
          <w:szCs w:val="27"/>
        </w:rPr>
        <w:t>Compte-rendu du GT exeat - 3 juin</w:t>
      </w:r>
    </w:p>
    <w:p w:rsidR="00310144" w:rsidRDefault="00310144" w:rsidP="00310144">
      <w:pPr>
        <w:pStyle w:val="NormalWeb"/>
        <w:spacing w:before="0" w:beforeAutospacing="0" w:after="0"/>
        <w:jc w:val="both"/>
      </w:pPr>
    </w:p>
    <w:p w:rsidR="00310144" w:rsidRPr="006A2E4F" w:rsidRDefault="00310144" w:rsidP="00310144">
      <w:pPr>
        <w:pStyle w:val="NormalWeb"/>
        <w:spacing w:before="0" w:beforeAutospacing="0" w:after="0"/>
        <w:jc w:val="both"/>
        <w:rPr>
          <w:color w:val="000000" w:themeColor="text1"/>
        </w:rPr>
      </w:pPr>
      <w:r w:rsidRPr="006A2E4F">
        <w:rPr>
          <w:b/>
          <w:bCs/>
          <w:color w:val="000000" w:themeColor="text1"/>
        </w:rPr>
        <w:t>Point général</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 xml:space="preserve">Cette année, le </w:t>
      </w:r>
      <w:proofErr w:type="spellStart"/>
      <w:r w:rsidRPr="006A2E4F">
        <w:rPr>
          <w:color w:val="000000" w:themeColor="text1"/>
        </w:rPr>
        <w:t>Dasen</w:t>
      </w:r>
      <w:proofErr w:type="spellEnd"/>
      <w:r w:rsidRPr="006A2E4F">
        <w:rPr>
          <w:color w:val="000000" w:themeColor="text1"/>
        </w:rPr>
        <w:t xml:space="preserve"> a accordé 69 exeat sur 399 demandes (dites recevables, car en réalité, c’était plus de 450 demandes). Les motifs qui pouvaient être invoqués sont des motifs médicaux, sociaux, rapprochements de conjoints, grande ancienneté et convenance personnelle.</w:t>
      </w:r>
    </w:p>
    <w:p w:rsidR="00310144" w:rsidRPr="00993E7E" w:rsidRDefault="00310144" w:rsidP="00310144">
      <w:pPr>
        <w:pStyle w:val="NormalWeb"/>
        <w:spacing w:before="0" w:beforeAutospacing="0" w:after="0"/>
        <w:jc w:val="both"/>
        <w:rPr>
          <w:rFonts w:asciiTheme="minorHAnsi" w:hAnsiTheme="minorHAnsi"/>
          <w:color w:val="000000" w:themeColor="text1"/>
        </w:rPr>
      </w:pPr>
      <w:r w:rsidRPr="00993E7E">
        <w:rPr>
          <w:rFonts w:asciiTheme="minorHAnsi" w:hAnsiTheme="minorHAnsi"/>
          <w:i/>
          <w:iCs/>
          <w:color w:val="000000" w:themeColor="text1"/>
        </w:rPr>
        <w:t xml:space="preserve">Si le </w:t>
      </w:r>
      <w:proofErr w:type="spellStart"/>
      <w:r w:rsidRPr="00993E7E">
        <w:rPr>
          <w:rFonts w:asciiTheme="minorHAnsi" w:hAnsiTheme="minorHAnsi"/>
          <w:i/>
          <w:iCs/>
          <w:color w:val="000000" w:themeColor="text1"/>
        </w:rPr>
        <w:t>Snudi</w:t>
      </w:r>
      <w:proofErr w:type="spellEnd"/>
      <w:r w:rsidRPr="00993E7E">
        <w:rPr>
          <w:rFonts w:asciiTheme="minorHAnsi" w:hAnsiTheme="minorHAnsi"/>
          <w:i/>
          <w:iCs/>
          <w:color w:val="000000" w:themeColor="text1"/>
        </w:rPr>
        <w:t xml:space="preserve"> FO reconnaît objectivement que ce nombre est en augmentation par rapport à l'année dernière (quoi que légère… 54 l’an passé), ce chiffre reste notoirement insuffisant, de trop nombreux collègues se retrouvent dans des situations de vie et professionnelles inacceptables.</w:t>
      </w:r>
    </w:p>
    <w:p w:rsidR="00310144" w:rsidRPr="006A2E4F" w:rsidRDefault="00310144" w:rsidP="00310144">
      <w:pPr>
        <w:pStyle w:val="NormalWeb"/>
        <w:spacing w:before="0" w:beforeAutospacing="0" w:after="0"/>
        <w:jc w:val="both"/>
        <w:rPr>
          <w:color w:val="000000" w:themeColor="text1"/>
        </w:rPr>
      </w:pPr>
    </w:p>
    <w:p w:rsidR="00310144" w:rsidRPr="006A2E4F" w:rsidRDefault="00310144" w:rsidP="00310144">
      <w:pPr>
        <w:pStyle w:val="NormalWeb"/>
        <w:spacing w:before="0" w:beforeAutospacing="0" w:after="0"/>
        <w:jc w:val="both"/>
        <w:rPr>
          <w:color w:val="000000" w:themeColor="text1"/>
        </w:rPr>
      </w:pPr>
      <w:r w:rsidRPr="006A2E4F">
        <w:rPr>
          <w:b/>
          <w:bCs/>
          <w:color w:val="000000" w:themeColor="text1"/>
        </w:rPr>
        <w:t>Le nombre d'exeat accordé selon les critères du DASEN</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Exeat médical : 26</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Exeat social : 12</w:t>
      </w:r>
    </w:p>
    <w:p w:rsidR="00310144" w:rsidRPr="006A2E4F" w:rsidRDefault="006A2E4F" w:rsidP="00310144">
      <w:pPr>
        <w:pStyle w:val="NormalWeb"/>
        <w:spacing w:before="0" w:beforeAutospacing="0" w:after="0"/>
        <w:jc w:val="both"/>
        <w:rPr>
          <w:color w:val="000000" w:themeColor="text1"/>
        </w:rPr>
      </w:pPr>
      <w:r>
        <w:rPr>
          <w:color w:val="000000" w:themeColor="text1"/>
        </w:rPr>
        <w:t>Ra</w:t>
      </w:r>
      <w:r w:rsidR="00310144" w:rsidRPr="006A2E4F">
        <w:rPr>
          <w:color w:val="000000" w:themeColor="text1"/>
        </w:rPr>
        <w:t xml:space="preserve">pprochement de conjoints avec 16 ans 10 mois d'AGS : 12 </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Grande ancienneté et cumul demande du même premier vœu : 19 ans et 75-80 points de demande (cela correspond à 16 ans) : 6</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Grande ancienneté (36 ans) : 1</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 xml:space="preserve">Critère Disponibilité + rapprochement de conjoints + 12 ans AGS : 13 </w:t>
      </w:r>
    </w:p>
    <w:p w:rsidR="00310144" w:rsidRPr="006A2E4F" w:rsidRDefault="00310144" w:rsidP="00310144">
      <w:pPr>
        <w:pStyle w:val="NormalWeb"/>
        <w:spacing w:before="0" w:beforeAutospacing="0" w:after="0"/>
        <w:jc w:val="both"/>
        <w:rPr>
          <w:color w:val="000000" w:themeColor="text1"/>
        </w:rPr>
      </w:pPr>
    </w:p>
    <w:p w:rsidR="00310144" w:rsidRPr="006A2E4F" w:rsidRDefault="00310144" w:rsidP="00310144">
      <w:pPr>
        <w:pStyle w:val="NormalWeb"/>
        <w:spacing w:before="0" w:beforeAutospacing="0" w:after="0"/>
        <w:jc w:val="both"/>
        <w:rPr>
          <w:color w:val="000000" w:themeColor="text1"/>
        </w:rPr>
      </w:pPr>
      <w:r w:rsidRPr="006A2E4F">
        <w:rPr>
          <w:b/>
          <w:bCs/>
          <w:color w:val="000000" w:themeColor="text1"/>
        </w:rPr>
        <w:t>Modification des critères</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Les autres syndicats sont intervenus pour demander des modifications des critères :</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Prise en compte des mutations d'office.</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Prise en compte de l'éloignement (DOM).</w:t>
      </w:r>
    </w:p>
    <w:p w:rsidR="00310144" w:rsidRPr="00993E7E" w:rsidRDefault="00310144" w:rsidP="00310144">
      <w:pPr>
        <w:pStyle w:val="NormalWeb"/>
        <w:spacing w:before="0" w:beforeAutospacing="0" w:after="0"/>
        <w:jc w:val="both"/>
        <w:rPr>
          <w:rFonts w:asciiTheme="minorHAnsi" w:hAnsiTheme="minorHAnsi"/>
          <w:i/>
          <w:iCs/>
          <w:color w:val="000000" w:themeColor="text1"/>
        </w:rPr>
      </w:pPr>
      <w:r w:rsidRPr="000F098E">
        <w:rPr>
          <w:rFonts w:asciiTheme="minorHAnsi" w:hAnsiTheme="minorHAnsi"/>
          <w:i/>
          <w:iCs/>
          <w:color w:val="000000" w:themeColor="text1"/>
        </w:rPr>
        <w:t xml:space="preserve">Le DASEN a demandé aux organisations syndicales de se prononcer sur les critères proposés, faisant peser ainsi sur elles la responsabilité des politiques d'austérité. Le </w:t>
      </w:r>
      <w:proofErr w:type="spellStart"/>
      <w:r w:rsidRPr="000F098E">
        <w:rPr>
          <w:rFonts w:asciiTheme="minorHAnsi" w:hAnsiTheme="minorHAnsi"/>
          <w:i/>
          <w:iCs/>
          <w:color w:val="000000" w:themeColor="text1"/>
        </w:rPr>
        <w:t>Snudi</w:t>
      </w:r>
      <w:proofErr w:type="spellEnd"/>
      <w:r w:rsidRPr="000F098E">
        <w:rPr>
          <w:rFonts w:asciiTheme="minorHAnsi" w:hAnsiTheme="minorHAnsi"/>
          <w:i/>
          <w:iCs/>
          <w:color w:val="000000" w:themeColor="text1"/>
        </w:rPr>
        <w:t xml:space="preserve"> FO est là pour défendre tous les dossiers qui lui sont confiés, en défendant de fait des situations qui ne sont pas dans les « critères » de la DSDEN. Le </w:t>
      </w:r>
      <w:proofErr w:type="spellStart"/>
      <w:r w:rsidRPr="000F098E">
        <w:rPr>
          <w:rFonts w:asciiTheme="minorHAnsi" w:hAnsiTheme="minorHAnsi"/>
          <w:i/>
          <w:iCs/>
          <w:color w:val="000000" w:themeColor="text1"/>
        </w:rPr>
        <w:t>Snudi</w:t>
      </w:r>
      <w:proofErr w:type="spellEnd"/>
      <w:r w:rsidRPr="000F098E">
        <w:rPr>
          <w:rFonts w:asciiTheme="minorHAnsi" w:hAnsiTheme="minorHAnsi"/>
          <w:i/>
          <w:iCs/>
          <w:color w:val="000000" w:themeColor="text1"/>
        </w:rPr>
        <w:t xml:space="preserve"> FO est là pour revendiquer l'augmentation du nombre d'exeat, pas pour monter les collègues les uns contre les autres en choisissant un critère plus qu'un autre. Les critères sont de la responsabilité du DASEN.</w:t>
      </w:r>
    </w:p>
    <w:p w:rsidR="00310144" w:rsidRPr="006A2E4F" w:rsidRDefault="00310144" w:rsidP="00310144">
      <w:pPr>
        <w:pStyle w:val="NormalWeb"/>
        <w:spacing w:before="0" w:beforeAutospacing="0" w:after="0"/>
        <w:jc w:val="both"/>
        <w:rPr>
          <w:color w:val="000000" w:themeColor="text1"/>
        </w:rPr>
      </w:pPr>
    </w:p>
    <w:p w:rsidR="00310144" w:rsidRPr="006A2E4F" w:rsidRDefault="00310144" w:rsidP="00310144">
      <w:pPr>
        <w:pStyle w:val="NormalWeb"/>
        <w:spacing w:before="0" w:beforeAutospacing="0" w:after="0"/>
        <w:jc w:val="both"/>
        <w:rPr>
          <w:color w:val="000000" w:themeColor="text1"/>
        </w:rPr>
      </w:pPr>
      <w:r w:rsidRPr="006A2E4F">
        <w:rPr>
          <w:b/>
          <w:bCs/>
          <w:color w:val="000000" w:themeColor="text1"/>
        </w:rPr>
        <w:t>Etude des exeat</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Le DASEN a annoncé le nom des 69 exeat accordés.</w:t>
      </w:r>
    </w:p>
    <w:p w:rsidR="00310144" w:rsidRPr="006A2E4F" w:rsidRDefault="00310144" w:rsidP="00310144">
      <w:pPr>
        <w:pStyle w:val="NormalWeb"/>
        <w:spacing w:before="0" w:beforeAutospacing="0" w:after="0"/>
        <w:jc w:val="both"/>
        <w:rPr>
          <w:color w:val="000000" w:themeColor="text1"/>
        </w:rPr>
      </w:pPr>
      <w:r w:rsidRPr="006A2E4F">
        <w:rPr>
          <w:color w:val="000000" w:themeColor="text1"/>
        </w:rPr>
        <w:t xml:space="preserve">Le </w:t>
      </w:r>
      <w:proofErr w:type="spellStart"/>
      <w:r w:rsidRPr="006A2E4F">
        <w:rPr>
          <w:color w:val="000000" w:themeColor="text1"/>
        </w:rPr>
        <w:t>Snudi</w:t>
      </w:r>
      <w:proofErr w:type="spellEnd"/>
      <w:r w:rsidRPr="006A2E4F">
        <w:rPr>
          <w:color w:val="000000" w:themeColor="text1"/>
        </w:rPr>
        <w:t xml:space="preserve"> FO a défendu les 103 dossiers qui lui ont été confiés, sans se soucier des critères du DASEN. </w:t>
      </w:r>
    </w:p>
    <w:p w:rsidR="00310144" w:rsidRPr="00C16657" w:rsidRDefault="00310144" w:rsidP="00310144">
      <w:pPr>
        <w:pStyle w:val="NormalWeb"/>
        <w:shd w:val="clear" w:color="auto" w:fill="FFFFFF"/>
        <w:spacing w:before="0" w:beforeAutospacing="0" w:after="0"/>
        <w:jc w:val="both"/>
        <w:rPr>
          <w:i/>
          <w:color w:val="000000" w:themeColor="text1"/>
        </w:rPr>
      </w:pPr>
      <w:r w:rsidRPr="00C16657">
        <w:rPr>
          <w:rFonts w:ascii="Calibri" w:hAnsi="Calibri"/>
          <w:i/>
          <w:color w:val="000000" w:themeColor="text1"/>
        </w:rPr>
        <w:t xml:space="preserve">Chaque dossier défendu va donc être réétudié par la direction académique. </w:t>
      </w:r>
    </w:p>
    <w:p w:rsidR="00310144" w:rsidRPr="000F098E" w:rsidRDefault="00310144" w:rsidP="00310144">
      <w:pPr>
        <w:pStyle w:val="NormalWeb"/>
        <w:shd w:val="clear" w:color="auto" w:fill="FFFFFF"/>
        <w:spacing w:before="0" w:beforeAutospacing="0" w:after="0"/>
        <w:jc w:val="both"/>
        <w:rPr>
          <w:color w:val="000000" w:themeColor="text1"/>
        </w:rPr>
      </w:pPr>
      <w:r w:rsidRPr="000F098E">
        <w:rPr>
          <w:rFonts w:ascii="Calibri" w:hAnsi="Calibri"/>
          <w:i/>
          <w:iCs/>
          <w:color w:val="000000" w:themeColor="text1"/>
        </w:rPr>
        <w:t>Si, depuis le dépôt de votre dossier, vous avez de nouvelles pièces, envoyez-les rapidement.</w:t>
      </w:r>
    </w:p>
    <w:p w:rsidR="00310144" w:rsidRPr="000F098E" w:rsidRDefault="00310144" w:rsidP="00310144">
      <w:pPr>
        <w:pStyle w:val="NormalWeb"/>
        <w:shd w:val="clear" w:color="auto" w:fill="FFFFFF"/>
        <w:spacing w:before="0" w:beforeAutospacing="0" w:after="0"/>
        <w:jc w:val="both"/>
        <w:rPr>
          <w:color w:val="000000" w:themeColor="text1"/>
        </w:rPr>
      </w:pPr>
      <w:r w:rsidRPr="000F098E">
        <w:rPr>
          <w:rFonts w:ascii="Calibri" w:hAnsi="Calibri"/>
          <w:i/>
          <w:iCs/>
          <w:color w:val="000000" w:themeColor="text1"/>
        </w:rPr>
        <w:t xml:space="preserve">Si vous souhaitez être reçus par la Direction académique afin de pouvoir exposer votre situation, contactez le </w:t>
      </w:r>
      <w:proofErr w:type="spellStart"/>
      <w:r w:rsidRPr="000F098E">
        <w:rPr>
          <w:rFonts w:ascii="Calibri" w:hAnsi="Calibri"/>
          <w:i/>
          <w:iCs/>
          <w:color w:val="000000" w:themeColor="text1"/>
        </w:rPr>
        <w:t>Snudi</w:t>
      </w:r>
      <w:proofErr w:type="spellEnd"/>
      <w:r w:rsidRPr="000F098E">
        <w:rPr>
          <w:rFonts w:ascii="Calibri" w:hAnsi="Calibri"/>
          <w:i/>
          <w:iCs/>
          <w:color w:val="000000" w:themeColor="text1"/>
        </w:rPr>
        <w:t xml:space="preserve"> FO</w:t>
      </w:r>
      <w:r w:rsidR="00DB22E7">
        <w:rPr>
          <w:rFonts w:ascii="Calibri" w:hAnsi="Calibri"/>
          <w:i/>
          <w:iCs/>
          <w:color w:val="000000" w:themeColor="text1"/>
        </w:rPr>
        <w:t>.</w:t>
      </w:r>
    </w:p>
    <w:p w:rsidR="00310144" w:rsidRPr="006A2E4F" w:rsidRDefault="00310144" w:rsidP="00310144">
      <w:pPr>
        <w:pStyle w:val="NormalWeb"/>
        <w:spacing w:before="0" w:beforeAutospacing="0" w:after="0"/>
        <w:jc w:val="both"/>
        <w:rPr>
          <w:color w:val="000000" w:themeColor="text1"/>
        </w:rPr>
      </w:pPr>
    </w:p>
    <w:p w:rsidR="00310144" w:rsidRPr="006A2E4F" w:rsidRDefault="00310144" w:rsidP="00310144">
      <w:pPr>
        <w:pStyle w:val="NormalWeb"/>
        <w:spacing w:before="0" w:beforeAutospacing="0" w:after="0"/>
        <w:jc w:val="both"/>
        <w:rPr>
          <w:color w:val="000000" w:themeColor="text1"/>
        </w:rPr>
      </w:pPr>
    </w:p>
    <w:p w:rsidR="00310144" w:rsidRPr="006A2E4F" w:rsidRDefault="00310144" w:rsidP="00310144">
      <w:pPr>
        <w:pStyle w:val="NormalWeb"/>
        <w:spacing w:before="0" w:beforeAutospacing="0" w:after="0"/>
        <w:jc w:val="both"/>
        <w:rPr>
          <w:color w:val="000000" w:themeColor="text1"/>
        </w:rPr>
      </w:pPr>
    </w:p>
    <w:p w:rsidR="00310144" w:rsidRPr="006A2E4F" w:rsidRDefault="00310144" w:rsidP="00310144">
      <w:pPr>
        <w:pStyle w:val="NormalWeb"/>
        <w:spacing w:before="0" w:beforeAutospacing="0" w:after="0"/>
        <w:jc w:val="both"/>
        <w:rPr>
          <w:color w:val="000000" w:themeColor="text1"/>
        </w:rPr>
      </w:pPr>
    </w:p>
    <w:p w:rsidR="00A653F0" w:rsidRPr="006A2E4F" w:rsidRDefault="00A653F0" w:rsidP="00310144">
      <w:pPr>
        <w:jc w:val="both"/>
        <w:rPr>
          <w:color w:val="000000" w:themeColor="text1"/>
        </w:rPr>
      </w:pPr>
    </w:p>
    <w:p w:rsidR="00310144" w:rsidRPr="006A2E4F" w:rsidRDefault="00310144">
      <w:pPr>
        <w:jc w:val="both"/>
        <w:rPr>
          <w:color w:val="000000" w:themeColor="text1"/>
        </w:rPr>
      </w:pPr>
    </w:p>
    <w:p w:rsidR="006A2E4F" w:rsidRPr="006A2E4F" w:rsidRDefault="006A2E4F">
      <w:pPr>
        <w:jc w:val="both"/>
        <w:rPr>
          <w:color w:val="000000" w:themeColor="text1"/>
        </w:rPr>
      </w:pPr>
    </w:p>
    <w:sectPr w:rsidR="006A2E4F" w:rsidRPr="006A2E4F" w:rsidSect="00A653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defaultTabStop w:val="708"/>
  <w:hyphenationZone w:val="425"/>
  <w:characterSpacingControl w:val="doNotCompress"/>
  <w:compat/>
  <w:rsids>
    <w:rsidRoot w:val="00310144"/>
    <w:rsid w:val="000F098E"/>
    <w:rsid w:val="00310144"/>
    <w:rsid w:val="00691B20"/>
    <w:rsid w:val="006A2E4F"/>
    <w:rsid w:val="00787CCB"/>
    <w:rsid w:val="008D5CBE"/>
    <w:rsid w:val="00993E7E"/>
    <w:rsid w:val="00A653F0"/>
    <w:rsid w:val="00B42945"/>
    <w:rsid w:val="00C16657"/>
    <w:rsid w:val="00C32EDB"/>
    <w:rsid w:val="00DB22E7"/>
    <w:rsid w:val="00DC0A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0144"/>
    <w:pPr>
      <w:spacing w:before="100" w:beforeAutospacing="1" w:after="119"/>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922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335</Words>
  <Characters>1846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SNUDIFO93PC1</dc:creator>
  <cp:lastModifiedBy>Véronique Maury</cp:lastModifiedBy>
  <cp:revision>4</cp:revision>
  <dcterms:created xsi:type="dcterms:W3CDTF">2016-06-07T19:49:00Z</dcterms:created>
  <dcterms:modified xsi:type="dcterms:W3CDTF">2016-06-07T20:43:00Z</dcterms:modified>
</cp:coreProperties>
</file>